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74" w:rsidRDefault="00926F74" w:rsidP="00926F74">
      <w:pPr>
        <w:pStyle w:val="a3"/>
        <w:shd w:val="clear" w:color="auto" w:fill="FFFFFF"/>
        <w:jc w:val="center"/>
        <w:rPr>
          <w:rFonts w:ascii="Calibri" w:hAnsi="Calibri"/>
          <w:color w:val="222222"/>
          <w:sz w:val="22"/>
          <w:szCs w:val="22"/>
        </w:rPr>
      </w:pPr>
      <w:bookmarkStart w:id="0" w:name="_GoBack"/>
      <w:r>
        <w:rPr>
          <w:b/>
          <w:bCs/>
          <w:color w:val="222222"/>
          <w:sz w:val="26"/>
          <w:szCs w:val="26"/>
        </w:rPr>
        <w:t xml:space="preserve">Круглый стол на тему «Индекс роста МСП </w:t>
      </w:r>
      <w:bookmarkEnd w:id="0"/>
      <w:r>
        <w:rPr>
          <w:b/>
          <w:bCs/>
          <w:color w:val="222222"/>
          <w:sz w:val="26"/>
          <w:szCs w:val="26"/>
        </w:rPr>
        <w:t>- новый инструмент повышения эффективности» проведет бизнес-защитник Забайкалья</w:t>
      </w:r>
    </w:p>
    <w:p w:rsidR="00926F74" w:rsidRDefault="00926F74" w:rsidP="00926F74">
      <w:pPr>
        <w:pStyle w:val="a3"/>
        <w:shd w:val="clear" w:color="auto" w:fill="FFFFFF"/>
        <w:jc w:val="center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 </w:t>
      </w:r>
    </w:p>
    <w:p w:rsidR="00926F74" w:rsidRDefault="00926F74" w:rsidP="00926F74">
      <w:pPr>
        <w:pStyle w:val="a3"/>
        <w:shd w:val="clear" w:color="auto" w:fill="FFFFFF"/>
        <w:ind w:firstLine="992"/>
        <w:jc w:val="both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222222"/>
          <w:sz w:val="26"/>
          <w:szCs w:val="26"/>
        </w:rPr>
        <w:t>Уполномоченный при Президенте РФ проводит цикл обсуждений на тему «Индекс роста МСП - новый инструмент повышения эффективности». В Забайкалье дискуссию организует региональный бизнес-омбудсмен Виктория Бессонова 25 ноября в 16.00. В мероприятии примут участие представители органов власти всех уровней, предпринимательских объединений, кредитных организаций и экспертного сообщества.</w:t>
      </w:r>
    </w:p>
    <w:p w:rsidR="00926F74" w:rsidRDefault="00926F74" w:rsidP="00926F74">
      <w:pPr>
        <w:pStyle w:val="a3"/>
        <w:shd w:val="clear" w:color="auto" w:fill="FFFFFF"/>
        <w:ind w:firstLine="992"/>
        <w:jc w:val="both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222222"/>
          <w:sz w:val="26"/>
          <w:szCs w:val="26"/>
        </w:rPr>
        <w:t> 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Индекс роста малого и среднего предпринимательства – это инструмент, разработанный Уполномоченным при Президенте РФ, а также Институтом экономики роста им. П.А. Столыпина и основанный на данных банковской статистики ПАО «Сбербанк». На базе него возможно максимально точно и оперативно прогнозировать развитие сектора МСП в разрезе регионов и отраслей, оценивать эффективность как отдельных мер поддержки, так и всей государственной политики в части развития малого и среднего бизнеса в целом.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 xml:space="preserve">Цикл обсуждений на данную тему пройдет в ряде регионов России. Организатор круглого стола в Забайкалье – бизнес-защитник Виктория Бессонова, модератор - руководитель экспертного центра при Уполномоченном при Президенте РФ, директор Института экономики роста им. П.А. Столыпина А.О. </w:t>
      </w:r>
      <w:proofErr w:type="spellStart"/>
      <w:r>
        <w:rPr>
          <w:color w:val="222222"/>
          <w:sz w:val="26"/>
          <w:szCs w:val="26"/>
        </w:rPr>
        <w:t>Алехнович</w:t>
      </w:r>
      <w:proofErr w:type="spellEnd"/>
      <w:r>
        <w:rPr>
          <w:color w:val="222222"/>
          <w:sz w:val="26"/>
          <w:szCs w:val="26"/>
        </w:rPr>
        <w:t xml:space="preserve"> (онлайн).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 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Основные вопросы для обсуждения: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 результаты Индекса за </w:t>
      </w:r>
      <w:r>
        <w:rPr>
          <w:color w:val="222222"/>
          <w:sz w:val="26"/>
          <w:szCs w:val="26"/>
          <w:lang w:val="en-US"/>
        </w:rPr>
        <w:t>III</w:t>
      </w:r>
      <w:r>
        <w:rPr>
          <w:color w:val="222222"/>
          <w:sz w:val="26"/>
          <w:szCs w:val="26"/>
        </w:rPr>
        <w:t> квартал 2020 г. в Забайкалье и в России в целом;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 определение факторов, оказывающих влияние на его динамику;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 выработка предложений по совершенствованию методики расчета в региональном и отраслевом разрезах;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 определение веса отраслей экономики в расчете Индекса и его составных показателей;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 уточнение кодов ОКВЭД на уровне субъекта РФ;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- влияние фактора теневой экономики на результаты Индекса.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 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lastRenderedPageBreak/>
        <w:t>Круглый стол состоится </w:t>
      </w:r>
      <w:r>
        <w:rPr>
          <w:b/>
          <w:bCs/>
          <w:color w:val="222222"/>
          <w:sz w:val="26"/>
          <w:szCs w:val="26"/>
        </w:rPr>
        <w:t>25 ноября 2020 года в 16.00</w:t>
      </w:r>
      <w:r>
        <w:rPr>
          <w:rFonts w:ascii="Tahoma" w:hAnsi="Tahoma" w:cs="Tahoma"/>
          <w:color w:val="222222"/>
          <w:sz w:val="26"/>
          <w:szCs w:val="26"/>
        </w:rPr>
        <w:t> </w:t>
      </w:r>
      <w:r>
        <w:rPr>
          <w:color w:val="222222"/>
          <w:sz w:val="26"/>
          <w:szCs w:val="26"/>
        </w:rPr>
        <w:t xml:space="preserve">по адресу: г. Чита, ул. </w:t>
      </w:r>
      <w:proofErr w:type="spellStart"/>
      <w:r>
        <w:rPr>
          <w:color w:val="222222"/>
          <w:sz w:val="26"/>
          <w:szCs w:val="26"/>
        </w:rPr>
        <w:t>Бутина</w:t>
      </w:r>
      <w:proofErr w:type="spellEnd"/>
      <w:r>
        <w:rPr>
          <w:color w:val="222222"/>
          <w:sz w:val="26"/>
          <w:szCs w:val="26"/>
        </w:rPr>
        <w:t>, 39 - Администрация городского округа «Город Чита» (зал заседаний, 2 этаж). Формат – комбинированный: совмещение онлайн и офлайн с соблюдением всех санитарных и противоэпидемиологических требований.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 </w:t>
      </w:r>
    </w:p>
    <w:p w:rsidR="00926F74" w:rsidRDefault="00926F74" w:rsidP="00926F74">
      <w:pPr>
        <w:pStyle w:val="a3"/>
        <w:shd w:val="clear" w:color="auto" w:fill="FFFFFF"/>
        <w:ind w:firstLine="708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6"/>
          <w:szCs w:val="26"/>
        </w:rPr>
        <w:t>Телефон для СМИ: 35-00-10, 89644721042, пресс-секретарь Ульяна Шишкина.</w:t>
      </w:r>
    </w:p>
    <w:p w:rsidR="005E1110" w:rsidRDefault="005E1110"/>
    <w:sectPr w:rsid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eurofurence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74"/>
    <w:rsid w:val="005E1110"/>
    <w:rsid w:val="00926F74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1D49-A89B-4BCE-B851-6A9BC88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2020-11-26T07:02:00Z</dcterms:created>
  <dcterms:modified xsi:type="dcterms:W3CDTF">2020-11-26T07:02:00Z</dcterms:modified>
</cp:coreProperties>
</file>